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优秀水利企业评选指标体系</w:t>
      </w:r>
      <w:bookmarkStart w:id="0" w:name="_GoBack"/>
      <w:bookmarkEnd w:id="0"/>
    </w:p>
    <w:tbl>
      <w:tblPr>
        <w:tblStyle w:val="3"/>
        <w:tblpPr w:leftFromText="180" w:rightFromText="180" w:vertAnchor="text" w:horzAnchor="page" w:tblpXSpec="center" w:tblpY="48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695"/>
        <w:gridCol w:w="2774"/>
        <w:gridCol w:w="5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4" w:hRule="atLeast"/>
          <w:jc w:val="center"/>
        </w:trPr>
        <w:tc>
          <w:tcPr>
            <w:tcW w:w="1695" w:type="dxa"/>
            <w:noWrap w:val="0"/>
            <w:vAlign w:val="center"/>
          </w:tcPr>
          <w:p>
            <w:pPr>
              <w:widowControl/>
              <w:jc w:val="center"/>
              <w:textAlignment w:val="center"/>
              <w:rPr>
                <w:rFonts w:hint="eastAsia" w:ascii="黑体" w:hAnsi="宋体" w:eastAsia="黑体" w:cs="黑体"/>
                <w:b/>
                <w:color w:val="000000"/>
                <w:sz w:val="24"/>
              </w:rPr>
            </w:pPr>
            <w:r>
              <w:rPr>
                <w:rFonts w:hint="eastAsia" w:ascii="黑体" w:hAnsi="宋体" w:eastAsia="黑体" w:cs="黑体"/>
                <w:b/>
                <w:color w:val="000000"/>
                <w:kern w:val="0"/>
                <w:sz w:val="24"/>
                <w:lang w:bidi="ar"/>
              </w:rPr>
              <w:t>评选指标</w:t>
            </w:r>
          </w:p>
        </w:tc>
        <w:tc>
          <w:tcPr>
            <w:tcW w:w="2774" w:type="dxa"/>
            <w:noWrap w:val="0"/>
            <w:vAlign w:val="center"/>
          </w:tcPr>
          <w:p>
            <w:pPr>
              <w:widowControl/>
              <w:jc w:val="center"/>
              <w:textAlignment w:val="center"/>
              <w:rPr>
                <w:rFonts w:hint="eastAsia" w:ascii="黑体" w:hAnsi="宋体" w:eastAsia="黑体" w:cs="黑体"/>
                <w:b/>
                <w:color w:val="000000"/>
                <w:sz w:val="24"/>
              </w:rPr>
            </w:pPr>
            <w:r>
              <w:rPr>
                <w:rFonts w:hint="eastAsia" w:ascii="黑体" w:hAnsi="宋体" w:eastAsia="黑体" w:cs="黑体"/>
                <w:b/>
                <w:color w:val="000000"/>
                <w:kern w:val="0"/>
                <w:sz w:val="24"/>
                <w:lang w:bidi="ar"/>
              </w:rPr>
              <w:t>评选内容</w:t>
            </w:r>
          </w:p>
        </w:tc>
        <w:tc>
          <w:tcPr>
            <w:tcW w:w="5565" w:type="dxa"/>
            <w:noWrap w:val="0"/>
            <w:vAlign w:val="center"/>
          </w:tcPr>
          <w:p>
            <w:pPr>
              <w:widowControl/>
              <w:jc w:val="center"/>
              <w:textAlignment w:val="center"/>
              <w:rPr>
                <w:rFonts w:hint="eastAsia" w:ascii="黑体" w:hAnsi="宋体" w:eastAsia="黑体" w:cs="黑体"/>
                <w:b/>
                <w:color w:val="000000"/>
                <w:sz w:val="24"/>
              </w:rPr>
            </w:pPr>
            <w:r>
              <w:rPr>
                <w:rFonts w:hint="eastAsia" w:ascii="黑体" w:hAnsi="宋体" w:eastAsia="黑体" w:cs="黑体"/>
                <w:b/>
                <w:color w:val="000000"/>
                <w:kern w:val="0"/>
                <w:sz w:val="24"/>
                <w:lang w:bidi="ar"/>
              </w:rPr>
              <w:t>评选标准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6" w:hRule="atLeast"/>
          <w:jc w:val="center"/>
        </w:trPr>
        <w:tc>
          <w:tcPr>
            <w:tcW w:w="1695" w:type="dxa"/>
            <w:vMerge w:val="restart"/>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财务指标</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（30分）</w:t>
            </w:r>
          </w:p>
        </w:tc>
        <w:tc>
          <w:tcPr>
            <w:tcW w:w="2774" w:type="dxa"/>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净资产收益率</w:t>
            </w:r>
          </w:p>
        </w:tc>
        <w:tc>
          <w:tcPr>
            <w:tcW w:w="5565" w:type="dxa"/>
            <w:vMerge w:val="restart"/>
            <w:noWrap w:val="0"/>
            <w:vAlign w:val="center"/>
          </w:tcPr>
          <w:p>
            <w:pPr>
              <w:widowControl/>
              <w:ind w:firstLine="480" w:firstLineChars="200"/>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1.参照国资委发布的企业绩效评价标准值，对应不同行业的全行业评价标准值计算财务指标得分。</w:t>
            </w:r>
          </w:p>
          <w:p>
            <w:pPr>
              <w:widowControl/>
              <w:ind w:firstLine="480" w:firstLineChars="200"/>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2.财务评价指标得分=两个评选年度财务评价指标得分平均值×30%。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96" w:hRule="atLeast"/>
          <w:jc w:val="center"/>
        </w:trPr>
        <w:tc>
          <w:tcPr>
            <w:tcW w:w="1695" w:type="dxa"/>
            <w:vMerge w:val="continue"/>
            <w:noWrap w:val="0"/>
            <w:vAlign w:val="center"/>
          </w:tcPr>
          <w:p>
            <w:pPr>
              <w:jc w:val="center"/>
              <w:rPr>
                <w:rFonts w:hint="eastAsia" w:ascii="仿宋" w:hAnsi="仿宋" w:eastAsia="仿宋" w:cs="仿宋"/>
                <w:color w:val="000000"/>
                <w:sz w:val="24"/>
              </w:rPr>
            </w:pPr>
          </w:p>
        </w:tc>
        <w:tc>
          <w:tcPr>
            <w:tcW w:w="2774" w:type="dxa"/>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总资产报酬率</w:t>
            </w:r>
          </w:p>
        </w:tc>
        <w:tc>
          <w:tcPr>
            <w:tcW w:w="5565" w:type="dxa"/>
            <w:vMerge w:val="continue"/>
            <w:noWrap w:val="0"/>
            <w:vAlign w:val="center"/>
          </w:tcPr>
          <w:p>
            <w:pPr>
              <w:jc w:val="lef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1695" w:type="dxa"/>
            <w:vMerge w:val="continue"/>
            <w:noWrap w:val="0"/>
            <w:vAlign w:val="center"/>
          </w:tcPr>
          <w:p>
            <w:pPr>
              <w:jc w:val="center"/>
              <w:rPr>
                <w:rFonts w:hint="eastAsia" w:ascii="仿宋" w:hAnsi="仿宋" w:eastAsia="仿宋" w:cs="仿宋"/>
                <w:color w:val="000000"/>
                <w:sz w:val="24"/>
              </w:rPr>
            </w:pPr>
          </w:p>
        </w:tc>
        <w:tc>
          <w:tcPr>
            <w:tcW w:w="2774" w:type="dxa"/>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总资产周转率</w:t>
            </w:r>
          </w:p>
        </w:tc>
        <w:tc>
          <w:tcPr>
            <w:tcW w:w="5565" w:type="dxa"/>
            <w:vMerge w:val="continue"/>
            <w:noWrap w:val="0"/>
            <w:vAlign w:val="center"/>
          </w:tcPr>
          <w:p>
            <w:pPr>
              <w:jc w:val="lef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2" w:hRule="atLeast"/>
          <w:jc w:val="center"/>
        </w:trPr>
        <w:tc>
          <w:tcPr>
            <w:tcW w:w="1695" w:type="dxa"/>
            <w:vMerge w:val="continue"/>
            <w:noWrap w:val="0"/>
            <w:vAlign w:val="center"/>
          </w:tcPr>
          <w:p>
            <w:pPr>
              <w:jc w:val="center"/>
              <w:rPr>
                <w:rFonts w:hint="eastAsia" w:ascii="仿宋" w:hAnsi="仿宋" w:eastAsia="仿宋" w:cs="仿宋"/>
                <w:color w:val="000000"/>
                <w:sz w:val="24"/>
              </w:rPr>
            </w:pPr>
          </w:p>
        </w:tc>
        <w:tc>
          <w:tcPr>
            <w:tcW w:w="2774" w:type="dxa"/>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应收账款周转率</w:t>
            </w:r>
          </w:p>
        </w:tc>
        <w:tc>
          <w:tcPr>
            <w:tcW w:w="5565" w:type="dxa"/>
            <w:vMerge w:val="continue"/>
            <w:noWrap w:val="0"/>
            <w:vAlign w:val="center"/>
          </w:tcPr>
          <w:p>
            <w:pPr>
              <w:jc w:val="lef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9" w:hRule="atLeast"/>
          <w:jc w:val="center"/>
        </w:trPr>
        <w:tc>
          <w:tcPr>
            <w:tcW w:w="1695" w:type="dxa"/>
            <w:vMerge w:val="continue"/>
            <w:noWrap w:val="0"/>
            <w:vAlign w:val="center"/>
          </w:tcPr>
          <w:p>
            <w:pPr>
              <w:jc w:val="center"/>
              <w:rPr>
                <w:rFonts w:hint="eastAsia" w:ascii="仿宋" w:hAnsi="仿宋" w:eastAsia="仿宋" w:cs="仿宋"/>
                <w:color w:val="000000"/>
                <w:sz w:val="24"/>
              </w:rPr>
            </w:pPr>
          </w:p>
        </w:tc>
        <w:tc>
          <w:tcPr>
            <w:tcW w:w="2774" w:type="dxa"/>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资产负债率</w:t>
            </w:r>
          </w:p>
        </w:tc>
        <w:tc>
          <w:tcPr>
            <w:tcW w:w="5565" w:type="dxa"/>
            <w:vMerge w:val="continue"/>
            <w:noWrap w:val="0"/>
            <w:vAlign w:val="center"/>
          </w:tcPr>
          <w:p>
            <w:pPr>
              <w:jc w:val="lef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1" w:hRule="atLeast"/>
          <w:jc w:val="center"/>
        </w:trPr>
        <w:tc>
          <w:tcPr>
            <w:tcW w:w="1695" w:type="dxa"/>
            <w:vMerge w:val="continue"/>
            <w:noWrap w:val="0"/>
            <w:vAlign w:val="center"/>
          </w:tcPr>
          <w:p>
            <w:pPr>
              <w:jc w:val="center"/>
              <w:rPr>
                <w:rFonts w:hint="eastAsia" w:ascii="仿宋" w:hAnsi="仿宋" w:eastAsia="仿宋" w:cs="仿宋"/>
                <w:color w:val="000000"/>
                <w:sz w:val="24"/>
              </w:rPr>
            </w:pPr>
          </w:p>
        </w:tc>
        <w:tc>
          <w:tcPr>
            <w:tcW w:w="2774" w:type="dxa"/>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已获利息倍数</w:t>
            </w:r>
          </w:p>
        </w:tc>
        <w:tc>
          <w:tcPr>
            <w:tcW w:w="5565" w:type="dxa"/>
            <w:vMerge w:val="continue"/>
            <w:noWrap w:val="0"/>
            <w:vAlign w:val="center"/>
          </w:tcPr>
          <w:p>
            <w:pPr>
              <w:jc w:val="lef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47" w:hRule="atLeast"/>
          <w:jc w:val="center"/>
        </w:trPr>
        <w:tc>
          <w:tcPr>
            <w:tcW w:w="1695" w:type="dxa"/>
            <w:vMerge w:val="continue"/>
            <w:noWrap w:val="0"/>
            <w:vAlign w:val="center"/>
          </w:tcPr>
          <w:p>
            <w:pPr>
              <w:jc w:val="center"/>
              <w:rPr>
                <w:rFonts w:hint="eastAsia" w:ascii="仿宋" w:hAnsi="仿宋" w:eastAsia="仿宋" w:cs="仿宋"/>
                <w:color w:val="000000"/>
                <w:sz w:val="24"/>
              </w:rPr>
            </w:pPr>
          </w:p>
        </w:tc>
        <w:tc>
          <w:tcPr>
            <w:tcW w:w="2774" w:type="dxa"/>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销售（营业）增长率</w:t>
            </w:r>
          </w:p>
        </w:tc>
        <w:tc>
          <w:tcPr>
            <w:tcW w:w="5565" w:type="dxa"/>
            <w:vMerge w:val="continue"/>
            <w:noWrap w:val="0"/>
            <w:vAlign w:val="center"/>
          </w:tcPr>
          <w:p>
            <w:pPr>
              <w:jc w:val="lef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2" w:hRule="atLeast"/>
          <w:jc w:val="center"/>
        </w:trPr>
        <w:tc>
          <w:tcPr>
            <w:tcW w:w="1695" w:type="dxa"/>
            <w:vMerge w:val="continue"/>
            <w:noWrap w:val="0"/>
            <w:vAlign w:val="center"/>
          </w:tcPr>
          <w:p>
            <w:pPr>
              <w:jc w:val="center"/>
              <w:rPr>
                <w:rFonts w:hint="eastAsia" w:ascii="仿宋" w:hAnsi="仿宋" w:eastAsia="仿宋" w:cs="仿宋"/>
                <w:color w:val="000000"/>
                <w:sz w:val="24"/>
              </w:rPr>
            </w:pPr>
          </w:p>
        </w:tc>
        <w:tc>
          <w:tcPr>
            <w:tcW w:w="2774" w:type="dxa"/>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资本保值增值率</w:t>
            </w:r>
          </w:p>
        </w:tc>
        <w:tc>
          <w:tcPr>
            <w:tcW w:w="5565" w:type="dxa"/>
            <w:vMerge w:val="continue"/>
            <w:noWrap w:val="0"/>
            <w:vAlign w:val="center"/>
          </w:tcPr>
          <w:p>
            <w:pPr>
              <w:jc w:val="lef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53" w:hRule="atLeast"/>
          <w:jc w:val="center"/>
        </w:trPr>
        <w:tc>
          <w:tcPr>
            <w:tcW w:w="1695" w:type="dxa"/>
            <w:vMerge w:val="restart"/>
            <w:noWrap w:val="0"/>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管理指标</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（30分）</w:t>
            </w:r>
          </w:p>
        </w:tc>
        <w:tc>
          <w:tcPr>
            <w:tcW w:w="2774"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发展战略</w:t>
            </w:r>
          </w:p>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（3分）</w:t>
            </w:r>
          </w:p>
        </w:tc>
        <w:tc>
          <w:tcPr>
            <w:tcW w:w="5565" w:type="dxa"/>
            <w:noWrap w:val="0"/>
            <w:vAlign w:val="center"/>
          </w:tcPr>
          <w:p>
            <w:pPr>
              <w:widowControl/>
              <w:ind w:firstLine="480" w:firstLineChars="200"/>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1.有正式印发的战略规划，内容完整，反映企业的发展经营模式得3分。</w:t>
            </w:r>
          </w:p>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2.未印发、内容不够完整或不能反映经营模式每处扣1分，扣完为止。</w:t>
            </w:r>
          </w:p>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3.战略规划有抄袭的，不得分。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4" w:hRule="atLeast"/>
          <w:jc w:val="center"/>
        </w:trPr>
        <w:tc>
          <w:tcPr>
            <w:tcW w:w="1695" w:type="dxa"/>
            <w:vMerge w:val="continue"/>
            <w:noWrap w:val="0"/>
            <w:vAlign w:val="center"/>
          </w:tcPr>
          <w:p>
            <w:pPr>
              <w:jc w:val="center"/>
              <w:rPr>
                <w:rFonts w:hint="eastAsia" w:ascii="仿宋" w:hAnsi="仿宋" w:eastAsia="仿宋" w:cs="仿宋"/>
                <w:color w:val="000000"/>
                <w:sz w:val="24"/>
              </w:rPr>
            </w:pPr>
          </w:p>
        </w:tc>
        <w:tc>
          <w:tcPr>
            <w:tcW w:w="2774"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经营决策</w:t>
            </w:r>
          </w:p>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（4分）</w:t>
            </w:r>
          </w:p>
        </w:tc>
        <w:tc>
          <w:tcPr>
            <w:tcW w:w="5565" w:type="dxa"/>
            <w:noWrap w:val="0"/>
            <w:vAlign w:val="center"/>
          </w:tcPr>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1.有规范的重大经营决策制度得4分。</w:t>
            </w:r>
          </w:p>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2.未印发、内容不完整，决策程序不规范，每处扣1分；扣完为止。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7" w:hRule="atLeast"/>
          <w:jc w:val="center"/>
        </w:trPr>
        <w:tc>
          <w:tcPr>
            <w:tcW w:w="1695" w:type="dxa"/>
            <w:vMerge w:val="continue"/>
            <w:noWrap w:val="0"/>
            <w:vAlign w:val="center"/>
          </w:tcPr>
          <w:p>
            <w:pPr>
              <w:jc w:val="center"/>
              <w:rPr>
                <w:rFonts w:hint="eastAsia" w:ascii="仿宋" w:hAnsi="仿宋" w:eastAsia="仿宋" w:cs="仿宋"/>
                <w:color w:val="000000"/>
                <w:sz w:val="24"/>
              </w:rPr>
            </w:pPr>
          </w:p>
        </w:tc>
        <w:tc>
          <w:tcPr>
            <w:tcW w:w="2774"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管理体系认证</w:t>
            </w:r>
          </w:p>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（3分）</w:t>
            </w:r>
          </w:p>
        </w:tc>
        <w:tc>
          <w:tcPr>
            <w:tcW w:w="5565" w:type="dxa"/>
            <w:noWrap w:val="0"/>
            <w:vAlign w:val="center"/>
          </w:tcPr>
          <w:p>
            <w:pPr>
              <w:widowControl/>
              <w:ind w:firstLine="480" w:firstLineChars="200"/>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ISO质量、环境和职业健康安全管理体系认证证书齐全得3分，缺少一项扣1分。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28" w:hRule="atLeast"/>
          <w:jc w:val="center"/>
        </w:trPr>
        <w:tc>
          <w:tcPr>
            <w:tcW w:w="1695" w:type="dxa"/>
            <w:vMerge w:val="continue"/>
            <w:noWrap w:val="0"/>
            <w:vAlign w:val="center"/>
          </w:tcPr>
          <w:p>
            <w:pPr>
              <w:jc w:val="center"/>
              <w:rPr>
                <w:rFonts w:hint="eastAsia" w:ascii="仿宋" w:hAnsi="仿宋" w:eastAsia="仿宋" w:cs="仿宋"/>
                <w:color w:val="000000"/>
                <w:sz w:val="24"/>
              </w:rPr>
            </w:pPr>
          </w:p>
        </w:tc>
        <w:tc>
          <w:tcPr>
            <w:tcW w:w="2774"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创新能力</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（20分）</w:t>
            </w:r>
          </w:p>
        </w:tc>
        <w:tc>
          <w:tcPr>
            <w:tcW w:w="5565" w:type="dxa"/>
            <w:noWrap w:val="0"/>
            <w:vAlign w:val="center"/>
          </w:tcPr>
          <w:p>
            <w:pPr>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1.管理创新：企业在人事、财务、质量、安全等方面的管理模式和管理手段的创新2分/项。</w:t>
            </w:r>
          </w:p>
          <w:p>
            <w:pPr>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2.技术创新：</w:t>
            </w:r>
          </w:p>
          <w:p>
            <w:pPr>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（1）发明专利3分/项、实用新型专利1分/项；软件著作权1分/项。</w:t>
            </w:r>
          </w:p>
          <w:p>
            <w:pPr>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（2）经地市级及以上鉴定机构鉴定的新工艺、新方法、新技术、新产品1分/项。</w:t>
            </w:r>
          </w:p>
          <w:p>
            <w:pPr>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（3）国家级工法3分/项、</w:t>
            </w:r>
            <w:r>
              <w:rPr>
                <w:rFonts w:hint="eastAsia" w:ascii="仿宋" w:hAnsi="仿宋" w:eastAsia="仿宋" w:cs="仿宋"/>
                <w:color w:val="000000"/>
                <w:kern w:val="0"/>
                <w:sz w:val="24"/>
                <w:lang w:eastAsia="zh-CN" w:bidi="ar"/>
              </w:rPr>
              <w:t>行业级工法</w:t>
            </w:r>
            <w:r>
              <w:rPr>
                <w:rFonts w:hint="eastAsia" w:ascii="仿宋" w:hAnsi="仿宋" w:eastAsia="仿宋" w:cs="仿宋"/>
                <w:color w:val="000000"/>
                <w:kern w:val="0"/>
                <w:sz w:val="24"/>
                <w:lang w:val="en-US" w:eastAsia="zh-CN" w:bidi="ar"/>
              </w:rPr>
              <w:t>2.5分</w:t>
            </w:r>
            <w:r>
              <w:rPr>
                <w:rFonts w:hint="eastAsia" w:ascii="仿宋" w:hAnsi="仿宋" w:eastAsia="仿宋" w:cs="仿宋"/>
                <w:color w:val="000000"/>
                <w:kern w:val="0"/>
                <w:sz w:val="24"/>
                <w:lang w:bidi="ar"/>
              </w:rPr>
              <w:t>/项</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省</w:t>
            </w:r>
            <w:r>
              <w:rPr>
                <w:rFonts w:hint="eastAsia" w:ascii="仿宋" w:hAnsi="仿宋" w:eastAsia="仿宋" w:cs="仿宋"/>
                <w:color w:val="000000"/>
                <w:kern w:val="0"/>
                <w:sz w:val="24"/>
                <w:lang w:eastAsia="zh-CN" w:bidi="ar"/>
              </w:rPr>
              <w:t>部</w:t>
            </w:r>
            <w:r>
              <w:rPr>
                <w:rFonts w:hint="eastAsia" w:ascii="仿宋" w:hAnsi="仿宋" w:eastAsia="仿宋" w:cs="仿宋"/>
                <w:color w:val="000000"/>
                <w:kern w:val="0"/>
                <w:sz w:val="24"/>
                <w:lang w:bidi="ar"/>
              </w:rPr>
              <w:t>级工法2分/项、</w:t>
            </w:r>
            <w:r>
              <w:rPr>
                <w:rFonts w:hint="eastAsia" w:ascii="仿宋" w:hAnsi="仿宋" w:eastAsia="仿宋" w:cs="仿宋"/>
                <w:color w:val="000000"/>
                <w:kern w:val="0"/>
                <w:sz w:val="24"/>
                <w:lang w:eastAsia="zh-CN" w:bidi="ar"/>
              </w:rPr>
              <w:t>地市级</w:t>
            </w:r>
            <w:r>
              <w:rPr>
                <w:rFonts w:hint="eastAsia" w:ascii="仿宋" w:hAnsi="仿宋" w:eastAsia="仿宋" w:cs="仿宋"/>
                <w:color w:val="000000"/>
                <w:kern w:val="0"/>
                <w:sz w:val="24"/>
                <w:lang w:bidi="ar"/>
              </w:rPr>
              <w:t>工法1分/项。</w:t>
            </w:r>
          </w:p>
          <w:p>
            <w:pPr>
              <w:ind w:firstLine="480" w:firstLineChars="20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（4）国家级高新技术企业、创新型企业得3分；省级高新技术企业、创新型企业得2分；地市级高新技术企业、创新型企业得1分。</w:t>
            </w:r>
          </w:p>
          <w:p>
            <w:pPr>
              <w:ind w:firstLine="480" w:firstLineChars="200"/>
              <w:jc w:val="left"/>
              <w:textAlignment w:val="center"/>
              <w:rPr>
                <w:rFonts w:hint="eastAsia" w:ascii="仿宋" w:hAnsi="仿宋" w:eastAsia="仿宋" w:cs="仿宋"/>
                <w:color w:val="000000"/>
                <w:kern w:val="0"/>
                <w:sz w:val="24"/>
                <w:lang w:eastAsia="zh-CN" w:bidi="ar"/>
              </w:rPr>
            </w:pPr>
            <w:r>
              <w:rPr>
                <w:rFonts w:hint="eastAsia" w:ascii="仿宋" w:hAnsi="仿宋" w:eastAsia="仿宋" w:cs="仿宋"/>
                <w:color w:val="000000"/>
                <w:kern w:val="0"/>
                <w:sz w:val="24"/>
                <w:lang w:bidi="ar"/>
              </w:rPr>
              <w:t>（5）主编国家标准、行业标准3分/项；参编国家标准、行业标准，主编地方标准、团体标准2分/项；参编地方标准、团体标准1分/项</w:t>
            </w:r>
            <w:r>
              <w:rPr>
                <w:rFonts w:hint="eastAsia" w:ascii="仿宋" w:hAnsi="仿宋" w:eastAsia="仿宋" w:cs="仿宋"/>
                <w:color w:val="000000"/>
                <w:kern w:val="0"/>
                <w:sz w:val="24"/>
                <w:lang w:eastAsia="zh-CN" w:bidi="ar"/>
              </w:rPr>
              <w:t>。</w:t>
            </w:r>
          </w:p>
          <w:p>
            <w:pPr>
              <w:ind w:firstLine="480" w:firstLineChars="200"/>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highlight w:val="none"/>
                <w:lang w:eastAsia="zh-CN" w:bidi="ar"/>
              </w:rPr>
              <w:t>（</w:t>
            </w:r>
            <w:r>
              <w:rPr>
                <w:rFonts w:hint="eastAsia" w:ascii="仿宋" w:hAnsi="仿宋" w:eastAsia="仿宋" w:cs="仿宋"/>
                <w:color w:val="000000"/>
                <w:kern w:val="0"/>
                <w:sz w:val="24"/>
                <w:highlight w:val="none"/>
                <w:lang w:val="en-US" w:eastAsia="zh-CN" w:bidi="ar"/>
              </w:rPr>
              <w:t>6</w:t>
            </w:r>
            <w:r>
              <w:rPr>
                <w:rFonts w:hint="eastAsia" w:ascii="仿宋" w:hAnsi="仿宋" w:eastAsia="仿宋" w:cs="仿宋"/>
                <w:color w:val="000000"/>
                <w:kern w:val="0"/>
                <w:sz w:val="24"/>
                <w:highlight w:val="none"/>
                <w:lang w:eastAsia="zh-CN" w:bidi="ar"/>
              </w:rPr>
              <w:t>）</w:t>
            </w:r>
            <w:r>
              <w:rPr>
                <w:rFonts w:hint="eastAsia" w:ascii="仿宋" w:hAnsi="仿宋" w:eastAsia="仿宋" w:cs="仿宋"/>
                <w:color w:val="000000"/>
                <w:kern w:val="0"/>
                <w:sz w:val="24"/>
                <w:highlight w:val="none"/>
                <w:lang w:bidi="ar"/>
              </w:rPr>
              <w:t>优秀质量管理</w:t>
            </w:r>
            <w:r>
              <w:rPr>
                <w:rFonts w:hint="eastAsia" w:ascii="仿宋" w:hAnsi="仿宋" w:eastAsia="仿宋" w:cs="仿宋"/>
                <w:color w:val="000000"/>
                <w:kern w:val="0"/>
                <w:sz w:val="24"/>
                <w:highlight w:val="none"/>
                <w:lang w:eastAsia="zh-CN" w:bidi="ar"/>
              </w:rPr>
              <w:t>（</w:t>
            </w:r>
            <w:r>
              <w:rPr>
                <w:rFonts w:hint="eastAsia" w:ascii="仿宋" w:hAnsi="仿宋" w:eastAsia="仿宋" w:cs="仿宋"/>
                <w:color w:val="000000"/>
                <w:kern w:val="0"/>
                <w:sz w:val="24"/>
                <w:highlight w:val="none"/>
                <w:lang w:val="en-US" w:eastAsia="zh-CN" w:bidi="ar"/>
              </w:rPr>
              <w:t>QC</w:t>
            </w:r>
            <w:r>
              <w:rPr>
                <w:rFonts w:hint="eastAsia" w:ascii="仿宋" w:hAnsi="仿宋" w:eastAsia="仿宋" w:cs="仿宋"/>
                <w:color w:val="000000"/>
                <w:kern w:val="0"/>
                <w:sz w:val="24"/>
                <w:highlight w:val="none"/>
                <w:lang w:eastAsia="zh-CN" w:bidi="ar"/>
              </w:rPr>
              <w:t>）</w:t>
            </w:r>
            <w:r>
              <w:rPr>
                <w:rFonts w:hint="eastAsia" w:ascii="仿宋" w:hAnsi="仿宋" w:eastAsia="仿宋" w:cs="仿宋"/>
                <w:color w:val="000000"/>
                <w:kern w:val="0"/>
                <w:sz w:val="24"/>
                <w:highlight w:val="none"/>
                <w:lang w:bidi="ar"/>
              </w:rPr>
              <w:t>小组</w:t>
            </w:r>
            <w:r>
              <w:rPr>
                <w:rFonts w:hint="eastAsia" w:ascii="仿宋" w:hAnsi="仿宋" w:eastAsia="仿宋" w:cs="仿宋"/>
                <w:color w:val="000000"/>
                <w:kern w:val="0"/>
                <w:sz w:val="24"/>
                <w:highlight w:val="none"/>
                <w:lang w:eastAsia="zh-CN" w:bidi="ar"/>
              </w:rPr>
              <w:t>成果：行业级一类</w:t>
            </w:r>
            <w:r>
              <w:rPr>
                <w:rFonts w:hint="eastAsia" w:ascii="仿宋" w:hAnsi="仿宋" w:eastAsia="仿宋" w:cs="仿宋"/>
                <w:color w:val="000000"/>
                <w:kern w:val="0"/>
                <w:sz w:val="24"/>
                <w:highlight w:val="none"/>
                <w:lang w:val="en-US" w:eastAsia="zh-CN" w:bidi="ar"/>
              </w:rPr>
              <w:t>2</w:t>
            </w:r>
            <w:r>
              <w:rPr>
                <w:rFonts w:hint="eastAsia" w:ascii="仿宋" w:hAnsi="仿宋" w:eastAsia="仿宋" w:cs="仿宋"/>
                <w:color w:val="000000"/>
                <w:kern w:val="0"/>
                <w:sz w:val="24"/>
                <w:highlight w:val="none"/>
                <w:lang w:eastAsia="zh-CN" w:bidi="ar"/>
              </w:rPr>
              <w:t>分</w:t>
            </w:r>
            <w:r>
              <w:rPr>
                <w:rFonts w:hint="eastAsia" w:ascii="仿宋" w:hAnsi="仿宋" w:eastAsia="仿宋" w:cs="仿宋"/>
                <w:color w:val="000000"/>
                <w:kern w:val="0"/>
                <w:sz w:val="24"/>
                <w:highlight w:val="none"/>
                <w:lang w:bidi="ar"/>
              </w:rPr>
              <w:t>/项</w:t>
            </w:r>
            <w:r>
              <w:rPr>
                <w:rFonts w:hint="eastAsia" w:ascii="仿宋" w:hAnsi="仿宋" w:eastAsia="仿宋" w:cs="仿宋"/>
                <w:color w:val="000000"/>
                <w:kern w:val="0"/>
                <w:sz w:val="24"/>
                <w:highlight w:val="none"/>
                <w:lang w:eastAsia="zh-CN" w:bidi="ar"/>
              </w:rPr>
              <w:t>，行业级二类</w:t>
            </w:r>
            <w:r>
              <w:rPr>
                <w:rFonts w:hint="eastAsia" w:ascii="仿宋" w:hAnsi="仿宋" w:eastAsia="仿宋" w:cs="仿宋"/>
                <w:color w:val="000000"/>
                <w:kern w:val="0"/>
                <w:sz w:val="24"/>
                <w:highlight w:val="none"/>
                <w:lang w:val="en-US" w:eastAsia="zh-CN" w:bidi="ar"/>
              </w:rPr>
              <w:t>1.5</w:t>
            </w:r>
            <w:r>
              <w:rPr>
                <w:rFonts w:hint="eastAsia" w:ascii="仿宋" w:hAnsi="仿宋" w:eastAsia="仿宋" w:cs="仿宋"/>
                <w:color w:val="000000"/>
                <w:kern w:val="0"/>
                <w:sz w:val="24"/>
                <w:highlight w:val="none"/>
                <w:lang w:eastAsia="zh-CN" w:bidi="ar"/>
              </w:rPr>
              <w:t>分</w:t>
            </w:r>
            <w:r>
              <w:rPr>
                <w:rFonts w:hint="eastAsia" w:ascii="仿宋" w:hAnsi="仿宋" w:eastAsia="仿宋" w:cs="仿宋"/>
                <w:color w:val="000000"/>
                <w:kern w:val="0"/>
                <w:sz w:val="24"/>
                <w:highlight w:val="none"/>
                <w:lang w:bidi="ar"/>
              </w:rPr>
              <w:t>/项</w:t>
            </w:r>
            <w:r>
              <w:rPr>
                <w:rFonts w:hint="eastAsia" w:ascii="仿宋" w:hAnsi="仿宋" w:eastAsia="仿宋" w:cs="仿宋"/>
                <w:color w:val="000000"/>
                <w:kern w:val="0"/>
                <w:sz w:val="24"/>
                <w:highlight w:val="none"/>
                <w:lang w:eastAsia="zh-CN" w:bidi="ar"/>
              </w:rPr>
              <w:t>，行业级三类</w:t>
            </w:r>
            <w:r>
              <w:rPr>
                <w:rFonts w:hint="eastAsia" w:ascii="仿宋" w:hAnsi="仿宋" w:eastAsia="仿宋" w:cs="仿宋"/>
                <w:color w:val="000000"/>
                <w:kern w:val="0"/>
                <w:sz w:val="24"/>
                <w:highlight w:val="none"/>
                <w:lang w:val="en-US" w:eastAsia="zh-CN" w:bidi="ar"/>
              </w:rPr>
              <w:t>1</w:t>
            </w:r>
            <w:r>
              <w:rPr>
                <w:rFonts w:hint="eastAsia" w:ascii="仿宋" w:hAnsi="仿宋" w:eastAsia="仿宋" w:cs="仿宋"/>
                <w:color w:val="000000"/>
                <w:kern w:val="0"/>
                <w:sz w:val="24"/>
                <w:highlight w:val="none"/>
                <w:lang w:eastAsia="zh-CN" w:bidi="ar"/>
              </w:rPr>
              <w:t>分</w:t>
            </w:r>
            <w:r>
              <w:rPr>
                <w:rFonts w:hint="eastAsia" w:ascii="仿宋" w:hAnsi="仿宋" w:eastAsia="仿宋" w:cs="仿宋"/>
                <w:color w:val="000000"/>
                <w:kern w:val="0"/>
                <w:sz w:val="24"/>
                <w:highlight w:val="none"/>
                <w:lang w:bidi="ar"/>
              </w:rPr>
              <w:t>/项</w:t>
            </w:r>
            <w:r>
              <w:rPr>
                <w:rFonts w:hint="eastAsia" w:ascii="仿宋" w:hAnsi="仿宋" w:eastAsia="仿宋" w:cs="仿宋"/>
                <w:color w:val="000000"/>
                <w:kern w:val="0"/>
                <w:sz w:val="24"/>
                <w:highlight w:val="none"/>
                <w:lang w:eastAsia="zh-CN" w:bidi="ar"/>
              </w:rPr>
              <w:t>，省级一类</w:t>
            </w:r>
            <w:r>
              <w:rPr>
                <w:rFonts w:hint="eastAsia" w:ascii="仿宋" w:hAnsi="仿宋" w:eastAsia="仿宋" w:cs="仿宋"/>
                <w:color w:val="000000"/>
                <w:kern w:val="0"/>
                <w:sz w:val="24"/>
                <w:highlight w:val="none"/>
                <w:lang w:val="en-US" w:eastAsia="zh-CN" w:bidi="ar"/>
              </w:rPr>
              <w:t>0.5分</w:t>
            </w:r>
            <w:r>
              <w:rPr>
                <w:rFonts w:hint="eastAsia" w:ascii="仿宋" w:hAnsi="仿宋" w:eastAsia="仿宋" w:cs="仿宋"/>
                <w:color w:val="000000"/>
                <w:kern w:val="0"/>
                <w:sz w:val="24"/>
                <w:highlight w:val="none"/>
                <w:lang w:bidi="ar"/>
              </w:rPr>
              <w:t>/项</w:t>
            </w:r>
            <w:r>
              <w:rPr>
                <w:rFonts w:hint="eastAsia" w:ascii="仿宋" w:hAnsi="仿宋" w:eastAsia="仿宋" w:cs="仿宋"/>
                <w:color w:val="000000"/>
                <w:kern w:val="0"/>
                <w:sz w:val="24"/>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48" w:hRule="atLeast"/>
          <w:jc w:val="center"/>
        </w:trPr>
        <w:tc>
          <w:tcPr>
            <w:tcW w:w="1695" w:type="dxa"/>
            <w:noWrap w:val="0"/>
            <w:vAlign w:val="center"/>
          </w:tcPr>
          <w:p>
            <w:pPr>
              <w:widowControl/>
              <w:jc w:val="center"/>
              <w:textAlignment w:val="center"/>
              <w:rPr>
                <w:rFonts w:hint="eastAsia" w:ascii="黑体" w:hAnsi="宋体" w:eastAsia="黑体" w:cs="黑体"/>
                <w:b/>
                <w:color w:val="000000"/>
                <w:sz w:val="24"/>
              </w:rPr>
            </w:pPr>
            <w:r>
              <w:rPr>
                <w:rFonts w:hint="eastAsia" w:ascii="黑体" w:hAnsi="宋体" w:eastAsia="黑体" w:cs="黑体"/>
                <w:b/>
                <w:color w:val="000000"/>
                <w:kern w:val="0"/>
                <w:sz w:val="24"/>
                <w:lang w:bidi="ar"/>
              </w:rPr>
              <w:t>评选指标</w:t>
            </w:r>
          </w:p>
        </w:tc>
        <w:tc>
          <w:tcPr>
            <w:tcW w:w="2774" w:type="dxa"/>
            <w:noWrap w:val="0"/>
            <w:vAlign w:val="center"/>
          </w:tcPr>
          <w:p>
            <w:pPr>
              <w:widowControl/>
              <w:jc w:val="center"/>
              <w:textAlignment w:val="center"/>
              <w:rPr>
                <w:rFonts w:hint="eastAsia" w:ascii="黑体" w:hAnsi="宋体" w:eastAsia="黑体" w:cs="黑体"/>
                <w:b/>
                <w:color w:val="000000"/>
                <w:sz w:val="24"/>
              </w:rPr>
            </w:pPr>
            <w:r>
              <w:rPr>
                <w:rFonts w:hint="eastAsia" w:ascii="黑体" w:hAnsi="宋体" w:eastAsia="黑体" w:cs="黑体"/>
                <w:b/>
                <w:color w:val="000000"/>
                <w:kern w:val="0"/>
                <w:sz w:val="24"/>
                <w:lang w:bidi="ar"/>
              </w:rPr>
              <w:t>评选内容</w:t>
            </w:r>
          </w:p>
        </w:tc>
        <w:tc>
          <w:tcPr>
            <w:tcW w:w="5565" w:type="dxa"/>
            <w:noWrap w:val="0"/>
            <w:vAlign w:val="center"/>
          </w:tcPr>
          <w:p>
            <w:pPr>
              <w:widowControl/>
              <w:jc w:val="center"/>
              <w:textAlignment w:val="center"/>
              <w:rPr>
                <w:rFonts w:hint="eastAsia" w:ascii="黑体" w:hAnsi="宋体" w:eastAsia="黑体" w:cs="黑体"/>
                <w:b/>
                <w:color w:val="000000"/>
                <w:sz w:val="24"/>
              </w:rPr>
            </w:pPr>
            <w:r>
              <w:rPr>
                <w:rFonts w:hint="eastAsia" w:ascii="黑体" w:hAnsi="宋体" w:eastAsia="黑体" w:cs="黑体"/>
                <w:b/>
                <w:color w:val="000000"/>
                <w:kern w:val="0"/>
                <w:sz w:val="24"/>
                <w:lang w:bidi="ar"/>
              </w:rPr>
              <w:t>评选标准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65" w:hRule="atLeast"/>
          <w:jc w:val="center"/>
        </w:trPr>
        <w:tc>
          <w:tcPr>
            <w:tcW w:w="1695" w:type="dxa"/>
            <w:vMerge w:val="restart"/>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社会指标</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（30分）</w:t>
            </w:r>
          </w:p>
        </w:tc>
        <w:tc>
          <w:tcPr>
            <w:tcW w:w="2774"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所获奖项荣誉</w:t>
            </w:r>
          </w:p>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（最高20分）</w:t>
            </w:r>
          </w:p>
        </w:tc>
        <w:tc>
          <w:tcPr>
            <w:tcW w:w="5565" w:type="dxa"/>
            <w:noWrap w:val="0"/>
            <w:vAlign w:val="center"/>
          </w:tcPr>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1.政府和行业组织奖项（10分）：省部级以上3分/项、省部级2分/项、地市级1分/项。</w:t>
            </w:r>
          </w:p>
          <w:p>
            <w:pPr>
              <w:widowControl/>
              <w:ind w:firstLine="480" w:firstLineChars="200"/>
              <w:jc w:val="left"/>
              <w:textAlignment w:val="center"/>
              <w:rPr>
                <w:rFonts w:hint="eastAsia" w:ascii="仿宋" w:hAnsi="仿宋" w:eastAsia="仿宋" w:cs="仿宋"/>
                <w:color w:val="000000"/>
                <w:kern w:val="0"/>
                <w:sz w:val="24"/>
                <w:lang w:val="en-US" w:eastAsia="zh-CN" w:bidi="ar"/>
              </w:rPr>
            </w:pPr>
            <w:r>
              <w:rPr>
                <w:rFonts w:hint="eastAsia" w:ascii="仿宋" w:hAnsi="仿宋" w:eastAsia="仿宋" w:cs="仿宋"/>
                <w:color w:val="000000"/>
                <w:kern w:val="0"/>
                <w:sz w:val="24"/>
                <w:lang w:bidi="ar"/>
              </w:rPr>
              <w:t>2.企业信用评价（5分）：水利建设市场监管平台公布的信用评价，AAA得5分、AA得3分、A得1分；其他全国性社会团体组织的信用评价，AAA得3分、AA得2分、A得1分</w:t>
            </w:r>
            <w:r>
              <w:rPr>
                <w:rFonts w:hint="eastAsia" w:ascii="仿宋" w:hAnsi="仿宋" w:eastAsia="仿宋" w:cs="仿宋"/>
                <w:color w:val="000000"/>
                <w:kern w:val="0"/>
                <w:sz w:val="24"/>
                <w:lang w:eastAsia="zh-CN" w:bidi="ar"/>
              </w:rPr>
              <w:t>；</w:t>
            </w:r>
            <w:r>
              <w:rPr>
                <w:rFonts w:hint="eastAsia" w:ascii="仿宋" w:hAnsi="仿宋" w:eastAsia="仿宋" w:cs="仿宋"/>
                <w:color w:val="000000"/>
                <w:kern w:val="0"/>
                <w:sz w:val="24"/>
                <w:lang w:bidi="ar"/>
              </w:rPr>
              <w:t>省级政府部门或行业组织的信用评价，AAA得2分</w:t>
            </w:r>
            <w:r>
              <w:rPr>
                <w:rFonts w:hint="eastAsia" w:ascii="仿宋" w:hAnsi="仿宋" w:eastAsia="仿宋" w:cs="仿宋"/>
                <w:color w:val="000000"/>
                <w:kern w:val="0"/>
                <w:sz w:val="24"/>
                <w:highlight w:val="none"/>
                <w:lang w:eastAsia="zh-CN" w:bidi="ar"/>
              </w:rPr>
              <w:t>、</w:t>
            </w:r>
            <w:r>
              <w:rPr>
                <w:rFonts w:hint="eastAsia" w:ascii="仿宋" w:hAnsi="仿宋" w:eastAsia="仿宋" w:cs="仿宋"/>
                <w:color w:val="000000"/>
                <w:kern w:val="0"/>
                <w:sz w:val="24"/>
                <w:highlight w:val="none"/>
                <w:lang w:bidi="ar"/>
              </w:rPr>
              <w:t>AA得</w:t>
            </w:r>
            <w:r>
              <w:rPr>
                <w:rFonts w:hint="eastAsia" w:ascii="仿宋" w:hAnsi="仿宋" w:eastAsia="仿宋" w:cs="仿宋"/>
                <w:color w:val="000000"/>
                <w:kern w:val="0"/>
                <w:sz w:val="24"/>
                <w:highlight w:val="none"/>
                <w:lang w:val="en-US" w:eastAsia="zh-CN" w:bidi="ar"/>
              </w:rPr>
              <w:t>1</w:t>
            </w:r>
            <w:r>
              <w:rPr>
                <w:rFonts w:hint="eastAsia" w:ascii="仿宋" w:hAnsi="仿宋" w:eastAsia="仿宋" w:cs="仿宋"/>
                <w:color w:val="000000"/>
                <w:kern w:val="0"/>
                <w:sz w:val="24"/>
                <w:highlight w:val="none"/>
                <w:lang w:bidi="ar"/>
              </w:rPr>
              <w:t>分</w:t>
            </w:r>
            <w:r>
              <w:rPr>
                <w:rFonts w:hint="eastAsia" w:ascii="仿宋" w:hAnsi="仿宋" w:eastAsia="仿宋" w:cs="仿宋"/>
                <w:color w:val="000000"/>
                <w:kern w:val="0"/>
                <w:sz w:val="24"/>
                <w:highlight w:val="none"/>
                <w:lang w:eastAsia="zh-CN" w:bidi="ar"/>
              </w:rPr>
              <w:t>。</w:t>
            </w:r>
          </w:p>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3.安全生产标准化达标（5分）：一级得5分、二级得3分、三级得1分。</w:t>
            </w:r>
          </w:p>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4.水利部所属事业单位投资企业年度绩效评价考核（2分）：评价结果为“优”得2分，评价结果为“良”得1分。</w:t>
            </w:r>
          </w:p>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5.节水产品认证（2分）：经有资格的节水产品认证机构认证并颁发的节水产品认证证书得2分。</w:t>
            </w:r>
          </w:p>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6.政府或权威机构发布的技术、产品等推广目录或信息年报（2分）：入选得2分。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1695" w:type="dxa"/>
            <w:vMerge w:val="continue"/>
            <w:noWrap w:val="0"/>
            <w:vAlign w:val="center"/>
          </w:tcPr>
          <w:p>
            <w:pPr>
              <w:jc w:val="center"/>
              <w:rPr>
                <w:rFonts w:hint="eastAsia" w:ascii="仿宋" w:hAnsi="仿宋" w:eastAsia="仿宋" w:cs="仿宋"/>
                <w:color w:val="000000"/>
                <w:sz w:val="24"/>
              </w:rPr>
            </w:pPr>
          </w:p>
        </w:tc>
        <w:tc>
          <w:tcPr>
            <w:tcW w:w="2774" w:type="dxa"/>
            <w:vMerge w:val="restart"/>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社会公益和水利贡献</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（10分）</w:t>
            </w:r>
          </w:p>
        </w:tc>
        <w:tc>
          <w:tcPr>
            <w:tcW w:w="5565" w:type="dxa"/>
            <w:noWrap w:val="0"/>
            <w:vAlign w:val="center"/>
          </w:tcPr>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组织或参与扶贫、助学、慈善捐赠等公益活动（4分）：组织或参与</w:t>
            </w:r>
            <w:r>
              <w:rPr>
                <w:rFonts w:hint="eastAsia" w:ascii="仿宋" w:hAnsi="仿宋" w:eastAsia="仿宋" w:cs="仿宋"/>
                <w:color w:val="000000"/>
                <w:kern w:val="0"/>
                <w:sz w:val="24"/>
                <w:lang w:val="en-US" w:eastAsia="zh-CN" w:bidi="ar"/>
              </w:rPr>
              <w:t>1</w:t>
            </w:r>
            <w:r>
              <w:rPr>
                <w:rFonts w:hint="eastAsia" w:ascii="仿宋" w:hAnsi="仿宋" w:eastAsia="仿宋" w:cs="仿宋"/>
                <w:color w:val="000000"/>
                <w:kern w:val="0"/>
                <w:sz w:val="24"/>
                <w:lang w:bidi="ar"/>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73" w:hRule="atLeast"/>
          <w:jc w:val="center"/>
        </w:trPr>
        <w:tc>
          <w:tcPr>
            <w:tcW w:w="1695" w:type="dxa"/>
            <w:vMerge w:val="continue"/>
            <w:noWrap w:val="0"/>
            <w:vAlign w:val="center"/>
          </w:tcPr>
          <w:p>
            <w:pPr>
              <w:jc w:val="center"/>
              <w:rPr>
                <w:rFonts w:hint="eastAsia" w:ascii="仿宋" w:hAnsi="仿宋" w:eastAsia="仿宋" w:cs="仿宋"/>
                <w:color w:val="000000"/>
                <w:sz w:val="24"/>
              </w:rPr>
            </w:pPr>
          </w:p>
        </w:tc>
        <w:tc>
          <w:tcPr>
            <w:tcW w:w="2774" w:type="dxa"/>
            <w:vMerge w:val="continue"/>
            <w:noWrap w:val="0"/>
            <w:vAlign w:val="center"/>
          </w:tcPr>
          <w:p>
            <w:pPr>
              <w:widowControl/>
              <w:jc w:val="center"/>
              <w:textAlignment w:val="center"/>
              <w:rPr>
                <w:rFonts w:hint="eastAsia" w:ascii="仿宋" w:hAnsi="仿宋" w:eastAsia="仿宋" w:cs="仿宋"/>
                <w:color w:val="000000"/>
                <w:kern w:val="0"/>
                <w:sz w:val="24"/>
                <w:lang w:bidi="ar"/>
              </w:rPr>
            </w:pPr>
          </w:p>
        </w:tc>
        <w:tc>
          <w:tcPr>
            <w:tcW w:w="5565" w:type="dxa"/>
            <w:noWrap w:val="0"/>
            <w:vAlign w:val="center"/>
          </w:tcPr>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在防洪减灾、水资源配置、灌溉与农村饮水、公益性投资等非营利方面的水利贡献（6分）：根据申报企业提供材料的实际情况综合评价赋分。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262" w:hRule="atLeast"/>
          <w:jc w:val="center"/>
        </w:trPr>
        <w:tc>
          <w:tcPr>
            <w:tcW w:w="1695" w:type="dxa"/>
            <w:vMerge w:val="restart"/>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会员义务指标</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（10分）</w:t>
            </w:r>
          </w:p>
        </w:tc>
        <w:tc>
          <w:tcPr>
            <w:tcW w:w="2774" w:type="dxa"/>
            <w:noWrap w:val="0"/>
            <w:vAlign w:val="center"/>
          </w:tcPr>
          <w:p>
            <w:pPr>
              <w:widowControl/>
              <w:jc w:val="center"/>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活动参与</w:t>
            </w:r>
          </w:p>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（6分）</w:t>
            </w:r>
          </w:p>
        </w:tc>
        <w:tc>
          <w:tcPr>
            <w:tcW w:w="5565" w:type="dxa"/>
            <w:noWrap w:val="0"/>
            <w:vAlign w:val="center"/>
          </w:tcPr>
          <w:p>
            <w:pPr>
              <w:widowControl/>
              <w:ind w:firstLine="480" w:firstLineChars="200"/>
              <w:jc w:val="left"/>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1.积极参加协会召开的会员代表大会、理事会、常务理事会及业务推进会等与会员相关的会议；积极参与和支持协会组织的行业论坛、研讨会、展览会、观摩会、交流会、培训、调研等活动。参加一次活动2分/次，本项最高4分。</w:t>
            </w:r>
          </w:p>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sz w:val="24"/>
              </w:rPr>
              <w:t>2.会员企业联络员工作情况（</w:t>
            </w:r>
            <w:r>
              <w:rPr>
                <w:rFonts w:hint="eastAsia" w:ascii="仿宋" w:hAnsi="仿宋" w:eastAsia="仿宋" w:cs="仿宋"/>
                <w:color w:val="000000"/>
                <w:kern w:val="0"/>
                <w:sz w:val="24"/>
                <w:lang w:bidi="ar"/>
              </w:rPr>
              <w:t>2分</w:t>
            </w:r>
            <w:r>
              <w:rPr>
                <w:rFonts w:hint="eastAsia" w:ascii="仿宋" w:hAnsi="仿宋" w:eastAsia="仿宋" w:cs="仿宋"/>
                <w:color w:val="000000"/>
                <w:sz w:val="24"/>
              </w:rPr>
              <w:t>）：</w:t>
            </w:r>
            <w:r>
              <w:rPr>
                <w:rFonts w:hint="eastAsia" w:ascii="仿宋" w:hAnsi="仿宋" w:eastAsia="仿宋" w:cs="仿宋"/>
                <w:color w:val="000000"/>
                <w:kern w:val="0"/>
                <w:sz w:val="24"/>
                <w:lang w:bidi="ar"/>
              </w:rPr>
              <w:t>根据联络员实际工作表现赋分。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59" w:hRule="atLeast"/>
          <w:jc w:val="center"/>
        </w:trPr>
        <w:tc>
          <w:tcPr>
            <w:tcW w:w="1695" w:type="dxa"/>
            <w:vMerge w:val="continue"/>
            <w:noWrap w:val="0"/>
            <w:vAlign w:val="center"/>
          </w:tcPr>
          <w:p>
            <w:pPr>
              <w:jc w:val="center"/>
              <w:rPr>
                <w:rFonts w:hint="eastAsia" w:ascii="仿宋" w:hAnsi="仿宋" w:eastAsia="仿宋" w:cs="仿宋"/>
                <w:color w:val="000000"/>
                <w:sz w:val="24"/>
              </w:rPr>
            </w:pPr>
          </w:p>
        </w:tc>
        <w:tc>
          <w:tcPr>
            <w:tcW w:w="2774" w:type="dxa"/>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会费交纳</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（4分）</w:t>
            </w:r>
          </w:p>
        </w:tc>
        <w:tc>
          <w:tcPr>
            <w:tcW w:w="5565" w:type="dxa"/>
            <w:noWrap w:val="0"/>
            <w:vAlign w:val="center"/>
          </w:tcPr>
          <w:p>
            <w:pPr>
              <w:widowControl/>
              <w:ind w:firstLine="480" w:firstLineChars="200"/>
              <w:jc w:val="left"/>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会费缴纳（4分）：连续3年及以上交纳会费得4分；连续2年交纳会费得3分；交纳会费1年得1分。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48" w:hRule="atLeast"/>
          <w:jc w:val="center"/>
        </w:trPr>
        <w:tc>
          <w:tcPr>
            <w:tcW w:w="1695" w:type="dxa"/>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扣分项</w:t>
            </w:r>
          </w:p>
        </w:tc>
        <w:tc>
          <w:tcPr>
            <w:tcW w:w="2774" w:type="dxa"/>
            <w:noWrap w:val="0"/>
            <w:vAlign w:val="center"/>
          </w:tcPr>
          <w:p>
            <w:pPr>
              <w:widowControl/>
              <w:jc w:val="center"/>
              <w:textAlignment w:val="center"/>
              <w:rPr>
                <w:rFonts w:hint="eastAsia" w:ascii="仿宋" w:hAnsi="仿宋" w:eastAsia="仿宋" w:cs="仿宋"/>
                <w:color w:val="000000"/>
                <w:sz w:val="24"/>
              </w:rPr>
            </w:pPr>
            <w:r>
              <w:rPr>
                <w:rFonts w:hint="eastAsia" w:ascii="仿宋" w:hAnsi="仿宋" w:eastAsia="仿宋" w:cs="仿宋"/>
                <w:color w:val="000000"/>
                <w:kern w:val="0"/>
                <w:sz w:val="24"/>
                <w:lang w:bidi="ar"/>
              </w:rPr>
              <w:t>不良行为记录信息</w:t>
            </w:r>
          </w:p>
        </w:tc>
        <w:tc>
          <w:tcPr>
            <w:tcW w:w="5565" w:type="dxa"/>
            <w:noWrap w:val="0"/>
            <w:vAlign w:val="center"/>
          </w:tcPr>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评选年度至申报截止日内,水利部水利建设市场监管平台公示的一般不良行为记录和较重不良行为记录:</w:t>
            </w:r>
          </w:p>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一般不良行为记录扣1分/条。超过10条取消评选资格。</w:t>
            </w:r>
          </w:p>
          <w:p>
            <w:pPr>
              <w:widowControl/>
              <w:ind w:firstLine="480" w:firstLineChars="200"/>
              <w:jc w:val="left"/>
              <w:textAlignment w:val="center"/>
              <w:rPr>
                <w:rFonts w:hint="eastAsia" w:ascii="仿宋" w:hAnsi="仿宋" w:eastAsia="仿宋" w:cs="仿宋"/>
                <w:color w:val="000000"/>
                <w:kern w:val="0"/>
                <w:sz w:val="24"/>
                <w:lang w:bidi="ar"/>
              </w:rPr>
            </w:pPr>
            <w:r>
              <w:rPr>
                <w:rFonts w:hint="eastAsia" w:ascii="仿宋" w:hAnsi="仿宋" w:eastAsia="仿宋" w:cs="仿宋"/>
                <w:color w:val="000000"/>
                <w:kern w:val="0"/>
                <w:sz w:val="24"/>
                <w:lang w:bidi="ar"/>
              </w:rPr>
              <w:t>较重不良行为记录扣2分/条，超过5条取消评选资格。</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7E6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2021-05-12T02:27:39Z</dcterms:created>
  <dc:creator>shuixie</dc:creator>
  <cp:lastModifiedBy>cay猫</cp:lastModifiedBy>
  <dcterms:modified xsi:type="dcterms:W3CDTF">2021-05-12T02:28:31Z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